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50D17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февраль</w:t>
      </w:r>
      <w:r w:rsidR="003B3458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430E15" w:rsidRDefault="00762166" w:rsidP="00430E15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Организовано и проведено пленарное заседание Общественной палаты городского округа Солнечногорск, на котором прошла презентация и обсуждение послания губернатора Московской области </w:t>
      </w:r>
      <w:proofErr w:type="spellStart"/>
      <w:r>
        <w:rPr>
          <w:rFonts w:ascii="Georgia" w:hAnsi="Georgia"/>
        </w:rPr>
        <w:t>А.Воробьева</w:t>
      </w:r>
      <w:proofErr w:type="spellEnd"/>
      <w:r>
        <w:rPr>
          <w:rFonts w:ascii="Georgia" w:hAnsi="Georgia"/>
        </w:rPr>
        <w:t>.</w:t>
      </w:r>
    </w:p>
    <w:p w:rsidR="00762166" w:rsidRPr="00762166" w:rsidRDefault="00762166" w:rsidP="00762166">
      <w:pPr>
        <w:pStyle w:val="a3"/>
        <w:ind w:left="927"/>
        <w:rPr>
          <w:rFonts w:ascii="Georgia" w:hAnsi="Georgia"/>
        </w:rPr>
      </w:pPr>
    </w:p>
    <w:p w:rsidR="00852B68" w:rsidRPr="007867DE" w:rsidRDefault="00762166" w:rsidP="0000439A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 w:cs="Arial"/>
          <w:color w:val="000000"/>
          <w:sz w:val="24"/>
          <w:szCs w:val="24"/>
        </w:rPr>
        <w:t>Организовано и проведено заседание Совета общественной палаты по обращениям граждан, с приглашением самих жителей. По итогам заседания принято решение об обращении Общественной палаты</w:t>
      </w:r>
      <w:r w:rsidR="00762977">
        <w:rPr>
          <w:rFonts w:ascii="Georgia" w:hAnsi="Georgia" w:cs="Arial"/>
          <w:color w:val="000000"/>
          <w:sz w:val="24"/>
          <w:szCs w:val="24"/>
        </w:rPr>
        <w:t xml:space="preserve"> по обсуждаемым вопросам</w:t>
      </w:r>
      <w:r>
        <w:rPr>
          <w:rFonts w:ascii="Georgia" w:hAnsi="Georgia" w:cs="Arial"/>
          <w:color w:val="000000"/>
          <w:sz w:val="24"/>
          <w:szCs w:val="24"/>
        </w:rPr>
        <w:t xml:space="preserve"> в админ</w:t>
      </w:r>
      <w:r w:rsidR="00762977">
        <w:rPr>
          <w:rFonts w:ascii="Georgia" w:hAnsi="Georgia" w:cs="Arial"/>
          <w:color w:val="000000"/>
          <w:sz w:val="24"/>
          <w:szCs w:val="24"/>
        </w:rPr>
        <w:t>истрацию городского окр</w:t>
      </w:r>
      <w:r>
        <w:rPr>
          <w:rFonts w:ascii="Georgia" w:hAnsi="Georgia" w:cs="Arial"/>
          <w:color w:val="000000"/>
          <w:sz w:val="24"/>
          <w:szCs w:val="24"/>
        </w:rPr>
        <w:t>уга Солнечногорск</w:t>
      </w:r>
      <w:r w:rsidR="00762977">
        <w:rPr>
          <w:rFonts w:ascii="Georgia" w:hAnsi="Georgia" w:cs="Arial"/>
          <w:color w:val="000000"/>
          <w:sz w:val="24"/>
          <w:szCs w:val="24"/>
        </w:rPr>
        <w:t>.</w:t>
      </w:r>
      <w:bookmarkStart w:id="0" w:name="_GoBack"/>
      <w:bookmarkEnd w:id="0"/>
    </w:p>
    <w:p w:rsidR="00670E58" w:rsidRPr="00670E58" w:rsidRDefault="00670E58" w:rsidP="00670E5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41ADB" w:rsidRPr="00141ADB" w:rsidRDefault="001256D1" w:rsidP="00141ADB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 xml:space="preserve">Создана рабочая группа, которая проводила мониторинг объектов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Солнечногорского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района, нанесенных на «Карту</w:t>
      </w:r>
      <w:r w:rsidR="00340639">
        <w:rPr>
          <w:rFonts w:ascii="Georgia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hAnsi="Georgia" w:cs="Times New Roman"/>
          <w:color w:val="000000"/>
          <w:sz w:val="24"/>
          <w:szCs w:val="24"/>
        </w:rPr>
        <w:t>возможностей особого ребенка»</w:t>
      </w:r>
      <w:r w:rsidR="00141ADB">
        <w:rPr>
          <w:rFonts w:ascii="Georgia" w:hAnsi="Georgia" w:cs="Times New Roman"/>
          <w:color w:val="000000"/>
          <w:sz w:val="24"/>
          <w:szCs w:val="24"/>
        </w:rPr>
        <w:t xml:space="preserve">. </w:t>
      </w:r>
      <w:r w:rsidR="00141ADB" w:rsidRPr="00141ADB">
        <w:rPr>
          <w:rFonts w:ascii="Georgia" w:hAnsi="Georgia" w:cs="Times New Roman"/>
          <w:color w:val="000000"/>
          <w:sz w:val="24"/>
          <w:szCs w:val="24"/>
        </w:rPr>
        <w:t>Проверено 5 объектов</w:t>
      </w:r>
      <w:r w:rsidR="00141ADB" w:rsidRPr="00141ADB">
        <w:rPr>
          <w:rFonts w:ascii="Georgia" w:hAnsi="Georgia"/>
          <w:sz w:val="24"/>
          <w:szCs w:val="24"/>
        </w:rPr>
        <w:t xml:space="preserve"> </w:t>
      </w:r>
      <w:r w:rsidR="00141ADB" w:rsidRPr="00141ADB">
        <w:rPr>
          <w:rFonts w:ascii="Georgia" w:hAnsi="Georgia" w:cs="Times New Roman"/>
          <w:sz w:val="24"/>
          <w:szCs w:val="24"/>
        </w:rPr>
        <w:t>Муниципальное бюджетное образовательное учреждение «Гимназия №6», расположенное по адресу: Московская область, г. Солнечногорск, ул. Банковская, д. 6а;</w:t>
      </w:r>
    </w:p>
    <w:p w:rsidR="00141ADB" w:rsidRPr="00141ADB" w:rsidRDefault="00141ADB" w:rsidP="00141ADB">
      <w:pPr>
        <w:pStyle w:val="a6"/>
        <w:spacing w:after="0" w:line="276" w:lineRule="auto"/>
        <w:ind w:left="927"/>
        <w:jc w:val="both"/>
        <w:rPr>
          <w:rFonts w:ascii="Georgia" w:hAnsi="Georgia" w:cs="Times New Roman"/>
          <w:sz w:val="24"/>
          <w:szCs w:val="24"/>
        </w:rPr>
      </w:pPr>
      <w:r w:rsidRPr="00141ADB">
        <w:rPr>
          <w:rFonts w:ascii="Georgia" w:hAnsi="Georgia" w:cs="Times New Roman"/>
          <w:sz w:val="24"/>
          <w:szCs w:val="24"/>
        </w:rPr>
        <w:t>МБОУ «Лицей № 7», расположенное по адресу: Московская область, г. Солнечногорск, ул. Почтовая, д. 9;</w:t>
      </w:r>
    </w:p>
    <w:p w:rsidR="00141ADB" w:rsidRPr="00141ADB" w:rsidRDefault="00141ADB" w:rsidP="00141ADB">
      <w:pPr>
        <w:pStyle w:val="a6"/>
        <w:spacing w:after="0" w:line="276" w:lineRule="auto"/>
        <w:ind w:left="927"/>
        <w:jc w:val="both"/>
        <w:rPr>
          <w:rFonts w:ascii="Georgia" w:hAnsi="Georgia" w:cs="Times New Roman"/>
          <w:sz w:val="24"/>
          <w:szCs w:val="24"/>
        </w:rPr>
      </w:pPr>
      <w:r w:rsidRPr="00141ADB">
        <w:rPr>
          <w:rFonts w:ascii="Georgia" w:hAnsi="Georgia" w:cs="Times New Roman"/>
          <w:sz w:val="24"/>
          <w:szCs w:val="24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сопровождения», расположенное по адресу: Московская область, г. Солнечногорск, ул. </w:t>
      </w:r>
      <w:proofErr w:type="spellStart"/>
      <w:r w:rsidRPr="00141ADB">
        <w:rPr>
          <w:rFonts w:ascii="Georgia" w:hAnsi="Georgia" w:cs="Times New Roman"/>
          <w:sz w:val="24"/>
          <w:szCs w:val="24"/>
        </w:rPr>
        <w:t>Вертлинская</w:t>
      </w:r>
      <w:proofErr w:type="spellEnd"/>
      <w:r w:rsidRPr="00141ADB">
        <w:rPr>
          <w:rFonts w:ascii="Georgia" w:hAnsi="Georgia" w:cs="Times New Roman"/>
          <w:sz w:val="24"/>
          <w:szCs w:val="24"/>
        </w:rPr>
        <w:t>, д. 7, пом. 2;</w:t>
      </w:r>
    </w:p>
    <w:p w:rsidR="00141ADB" w:rsidRPr="00141ADB" w:rsidRDefault="00141ADB" w:rsidP="00141ADB">
      <w:pPr>
        <w:pStyle w:val="a6"/>
        <w:spacing w:after="0" w:line="276" w:lineRule="auto"/>
        <w:ind w:left="927"/>
        <w:jc w:val="both"/>
        <w:rPr>
          <w:rFonts w:ascii="Georgia" w:hAnsi="Georgia" w:cs="Times New Roman"/>
          <w:sz w:val="24"/>
          <w:szCs w:val="24"/>
        </w:rPr>
      </w:pPr>
      <w:r w:rsidRPr="00141ADB">
        <w:rPr>
          <w:rFonts w:ascii="Georgia" w:hAnsi="Georgia" w:cs="Times New Roman"/>
          <w:sz w:val="24"/>
          <w:szCs w:val="24"/>
        </w:rPr>
        <w:t>Государственное казенное учреждение социального обслуживания Московской области «</w:t>
      </w:r>
      <w:proofErr w:type="spellStart"/>
      <w:r w:rsidRPr="00141ADB">
        <w:rPr>
          <w:rFonts w:ascii="Georgia" w:hAnsi="Georgia" w:cs="Times New Roman"/>
          <w:sz w:val="24"/>
          <w:szCs w:val="24"/>
        </w:rPr>
        <w:t>Солнечногорский</w:t>
      </w:r>
      <w:proofErr w:type="spellEnd"/>
      <w:r w:rsidRPr="00141ADB">
        <w:rPr>
          <w:rFonts w:ascii="Georgia" w:hAnsi="Georgia" w:cs="Times New Roman"/>
          <w:sz w:val="24"/>
          <w:szCs w:val="24"/>
        </w:rPr>
        <w:t xml:space="preserve"> социально-реабилитационный центр для несовершеннолетних «Незабудка», расположенное по адресу: Московская область, г. Солнечногорск, ул. </w:t>
      </w:r>
      <w:proofErr w:type="spellStart"/>
      <w:r w:rsidRPr="00141ADB">
        <w:rPr>
          <w:rFonts w:ascii="Georgia" w:hAnsi="Georgia" w:cs="Times New Roman"/>
          <w:sz w:val="24"/>
          <w:szCs w:val="24"/>
        </w:rPr>
        <w:t>Вертлинская</w:t>
      </w:r>
      <w:proofErr w:type="spellEnd"/>
      <w:r w:rsidRPr="00141ADB">
        <w:rPr>
          <w:rFonts w:ascii="Georgia" w:hAnsi="Georgia" w:cs="Times New Roman"/>
          <w:sz w:val="24"/>
          <w:szCs w:val="24"/>
        </w:rPr>
        <w:t>, д. 5а.</w:t>
      </w:r>
    </w:p>
    <w:p w:rsidR="00141ADB" w:rsidRPr="00141ADB" w:rsidRDefault="00141ADB" w:rsidP="00762166">
      <w:pPr>
        <w:spacing w:after="0"/>
        <w:ind w:left="927" w:firstLine="348"/>
        <w:jc w:val="both"/>
        <w:rPr>
          <w:rFonts w:ascii="Georgia" w:hAnsi="Georgia" w:cs="Times New Roman"/>
          <w:sz w:val="24"/>
          <w:szCs w:val="24"/>
        </w:rPr>
      </w:pPr>
      <w:r w:rsidRPr="00141ADB">
        <w:rPr>
          <w:rFonts w:ascii="Georgia" w:hAnsi="Georgia" w:cs="Times New Roman"/>
          <w:sz w:val="24"/>
          <w:szCs w:val="24"/>
        </w:rPr>
        <w:t>Также, что в ходе проверки удалено Муниципальное казенное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 (адрес: Московская область, г. Солнечногорск, ул. Красная, д. 178, пом. 2), как не существующее.</w:t>
      </w:r>
    </w:p>
    <w:p w:rsidR="00670E58" w:rsidRPr="00670E58" w:rsidRDefault="00670E58" w:rsidP="00762166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52B68" w:rsidRPr="00852B68" w:rsidRDefault="00852B68" w:rsidP="00852B68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1D6EB1" w:rsidRDefault="00340639" w:rsidP="00340639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 w:rsidR="00750D1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провели 15</w:t>
      </w:r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собраний с жителями домов-победителями голосования на портале «</w:t>
      </w:r>
      <w:proofErr w:type="spellStart"/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Добродел</w:t>
      </w:r>
      <w:proofErr w:type="spellEnd"/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». По итогам каждой встречи составляются Протокол собрания и Акты согласования видов работ с обязательной подписью представителя общественности, председателя и секретаря собрания из числа собственников этих домов. К Акту обязательно будет приложена схема двора с указанием </w:t>
      </w:r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lastRenderedPageBreak/>
        <w:t>расположения благоустраиваемых элементов и видов планируемых работ.</w:t>
      </w:r>
      <w:r w:rsidR="003565F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Проведенные собрания показали, что предпочтения жителей в этом году изменились в сторону наполнения детских площадок спортивными элементами.</w:t>
      </w:r>
    </w:p>
    <w:p w:rsidR="009B6B58" w:rsidRPr="003565FA" w:rsidRDefault="009B6B58" w:rsidP="003565FA">
      <w:pP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141874" w:rsidRPr="003565FA" w:rsidRDefault="001D6EB1" w:rsidP="0014187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proofErr w:type="gramStart"/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750D1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встречу</w:t>
      </w:r>
      <w:proofErr w:type="gramEnd"/>
      <w:r w:rsidR="00750D1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 жителями МКД «Молодежная» «О реформировании сферы по обращению с отходами, в том числе ТКО, и о деятельности регионального оператора </w:t>
      </w:r>
      <w:proofErr w:type="spellStart"/>
      <w:r w:rsidR="00750D1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ООО»Экопромсервис</w:t>
      </w:r>
      <w:proofErr w:type="spellEnd"/>
      <w:r w:rsidR="00750D1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» на территории городского округа Солнечногорск</w:t>
      </w:r>
      <w:r w:rsidR="00CF2FA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="00CF2FA3" w:rsidRPr="00CF2FA3">
        <w:rPr>
          <w:rFonts w:ascii="Georgia" w:hAnsi="Georgia"/>
          <w:sz w:val="24"/>
          <w:szCs w:val="24"/>
        </w:rPr>
        <w:t>Информацию о новом экологическом стандарте по обращению с твердыми коммунальными отходами для наглядности представили в виде презентации. Председатель комиссии подробно рассказала о стоимости услуг по сбору, вывозу, утилизации (захоронению) твердых коммунальных отходов и оплате по нормативу с квадратного метра жилья, а также о необходимости заключения договоров на вывоз мусора с региональным оператором.</w:t>
      </w:r>
    </w:p>
    <w:p w:rsidR="003565FA" w:rsidRPr="003565FA" w:rsidRDefault="003565FA" w:rsidP="003565FA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565FA" w:rsidRPr="003565FA" w:rsidRDefault="003565FA" w:rsidP="003565FA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D02BF" w:rsidRPr="006D02BF" w:rsidRDefault="006D02BF" w:rsidP="006D02BF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6744D" w:rsidRPr="00762166" w:rsidRDefault="00750D17" w:rsidP="00750D17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hAnsi="Georgia"/>
          <w:color w:val="262626" w:themeColor="text1" w:themeTint="D9"/>
        </w:rPr>
        <w:t xml:space="preserve"> провели общественный контроль по мерам принимаемым муниципальным образованием по совершенствованию схемы раздельного сбора ТБО, определению мест контейнерных площадок</w:t>
      </w:r>
      <w:r w:rsidR="001256D1">
        <w:rPr>
          <w:rFonts w:ascii="Georgia" w:hAnsi="Georgia"/>
          <w:color w:val="262626" w:themeColor="text1" w:themeTint="D9"/>
        </w:rPr>
        <w:t>. Данные общественного контроля переданы в администрацию городского округа Солнечногорск и региональному оператору «</w:t>
      </w:r>
      <w:proofErr w:type="spellStart"/>
      <w:r w:rsidR="001256D1">
        <w:rPr>
          <w:rFonts w:ascii="Georgia" w:hAnsi="Georgia"/>
          <w:color w:val="262626" w:themeColor="text1" w:themeTint="D9"/>
        </w:rPr>
        <w:t>Экопромсервис</w:t>
      </w:r>
      <w:proofErr w:type="spellEnd"/>
      <w:r w:rsidR="001256D1">
        <w:rPr>
          <w:rFonts w:ascii="Georgia" w:hAnsi="Georgia"/>
          <w:color w:val="262626" w:themeColor="text1" w:themeTint="D9"/>
        </w:rPr>
        <w:t>».</w:t>
      </w:r>
    </w:p>
    <w:p w:rsidR="00762166" w:rsidRDefault="00762166" w:rsidP="00762166">
      <w:pPr>
        <w:pStyle w:val="a3"/>
        <w:rPr>
          <w:rFonts w:ascii="Georgia" w:hAnsi="Georgia"/>
          <w:color w:val="262626" w:themeColor="text1" w:themeTint="D9"/>
        </w:rPr>
      </w:pPr>
    </w:p>
    <w:p w:rsidR="00762166" w:rsidRPr="0046744D" w:rsidRDefault="00762166" w:rsidP="00762166">
      <w:pPr>
        <w:pStyle w:val="a3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color w:val="262626" w:themeColor="text1" w:themeTint="D9"/>
        </w:rPr>
        <w:t>Членами комиссии по здравоохранению, социальной политике и трудовым отношениям проведена проверка доступности маршрутов двух инвалидов к социально-значимым объектам. Информация передана в Управление социальной защиты населения района и администрацию района.</w:t>
      </w:r>
    </w:p>
    <w:p w:rsidR="00562ED1" w:rsidRPr="00562ED1" w:rsidRDefault="00562ED1" w:rsidP="00562ED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D27F8" w:rsidRPr="00CD27F8" w:rsidRDefault="00CD27F8" w:rsidP="00CD27F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B30172" w:rsidRDefault="00B30172" w:rsidP="00B30172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A2394"/>
    <w:rsid w:val="001C76B5"/>
    <w:rsid w:val="001D6EB1"/>
    <w:rsid w:val="001E6605"/>
    <w:rsid w:val="001F55A9"/>
    <w:rsid w:val="00221F97"/>
    <w:rsid w:val="00266355"/>
    <w:rsid w:val="00266935"/>
    <w:rsid w:val="00276109"/>
    <w:rsid w:val="002D308B"/>
    <w:rsid w:val="00303DA8"/>
    <w:rsid w:val="00340639"/>
    <w:rsid w:val="003565FA"/>
    <w:rsid w:val="00357A27"/>
    <w:rsid w:val="003665B7"/>
    <w:rsid w:val="00387FED"/>
    <w:rsid w:val="003A5C53"/>
    <w:rsid w:val="003B0911"/>
    <w:rsid w:val="003B3458"/>
    <w:rsid w:val="003D0A6B"/>
    <w:rsid w:val="00410598"/>
    <w:rsid w:val="00430E15"/>
    <w:rsid w:val="004466FD"/>
    <w:rsid w:val="00457CC6"/>
    <w:rsid w:val="00464843"/>
    <w:rsid w:val="0046744D"/>
    <w:rsid w:val="00475ED3"/>
    <w:rsid w:val="004C03D6"/>
    <w:rsid w:val="004D68F1"/>
    <w:rsid w:val="005113B2"/>
    <w:rsid w:val="00512B91"/>
    <w:rsid w:val="005147B6"/>
    <w:rsid w:val="00562ED1"/>
    <w:rsid w:val="005B3633"/>
    <w:rsid w:val="005C5B2B"/>
    <w:rsid w:val="005F2940"/>
    <w:rsid w:val="00603188"/>
    <w:rsid w:val="00622248"/>
    <w:rsid w:val="00670E58"/>
    <w:rsid w:val="006C463D"/>
    <w:rsid w:val="006C53BD"/>
    <w:rsid w:val="006D02BF"/>
    <w:rsid w:val="006D617B"/>
    <w:rsid w:val="006F1E38"/>
    <w:rsid w:val="00734495"/>
    <w:rsid w:val="00750D17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91DAE"/>
    <w:rsid w:val="00AA0C3D"/>
    <w:rsid w:val="00AA5E94"/>
    <w:rsid w:val="00B22789"/>
    <w:rsid w:val="00B30172"/>
    <w:rsid w:val="00B37880"/>
    <w:rsid w:val="00B54337"/>
    <w:rsid w:val="00B7247D"/>
    <w:rsid w:val="00B73560"/>
    <w:rsid w:val="00B907A8"/>
    <w:rsid w:val="00B91868"/>
    <w:rsid w:val="00C51400"/>
    <w:rsid w:val="00C76197"/>
    <w:rsid w:val="00C9184A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6810"/>
    <w:rsid w:val="00E1434B"/>
    <w:rsid w:val="00E216B5"/>
    <w:rsid w:val="00E65BF5"/>
    <w:rsid w:val="00E85C33"/>
    <w:rsid w:val="00E9265F"/>
    <w:rsid w:val="00EB0D03"/>
    <w:rsid w:val="00EE2FBF"/>
    <w:rsid w:val="00F02E14"/>
    <w:rsid w:val="00F14F7A"/>
    <w:rsid w:val="00F21535"/>
    <w:rsid w:val="00F52310"/>
    <w:rsid w:val="00F606FD"/>
    <w:rsid w:val="00F66F25"/>
    <w:rsid w:val="00F851B9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44</cp:revision>
  <cp:lastPrinted>2017-09-25T13:58:00Z</cp:lastPrinted>
  <dcterms:created xsi:type="dcterms:W3CDTF">2017-09-06T15:16:00Z</dcterms:created>
  <dcterms:modified xsi:type="dcterms:W3CDTF">2019-02-27T14:31:00Z</dcterms:modified>
</cp:coreProperties>
</file>